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A7" w:rsidRDefault="00C868A7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:rsidR="00C868A7" w:rsidRDefault="00C868A7">
      <w:pPr>
        <w:pStyle w:val="BodyText"/>
        <w:rPr>
          <w:rFonts w:ascii="Times New Roman"/>
          <w:i w:val="0"/>
          <w:sz w:val="20"/>
        </w:rPr>
      </w:pPr>
    </w:p>
    <w:p w:rsidR="00C868A7" w:rsidRDefault="00C868A7">
      <w:pPr>
        <w:pStyle w:val="BodyText"/>
        <w:spacing w:before="7"/>
        <w:rPr>
          <w:rFonts w:ascii="Times New Roman"/>
          <w:i w:val="0"/>
          <w:sz w:val="25"/>
        </w:rPr>
      </w:pPr>
    </w:p>
    <w:p w:rsidR="00C868A7" w:rsidRDefault="007C6E81">
      <w:pPr>
        <w:pStyle w:val="Heading1"/>
        <w:spacing w:before="93"/>
        <w:ind w:left="2846" w:firstLine="0"/>
      </w:pPr>
      <w:r>
        <w:t>ADDENDUM to MRS S REVIEW</w:t>
      </w:r>
    </w:p>
    <w:p w:rsidR="00C868A7" w:rsidRDefault="00C868A7">
      <w:pPr>
        <w:pStyle w:val="BodyText"/>
        <w:spacing w:before="11"/>
        <w:rPr>
          <w:b/>
          <w:i w:val="0"/>
          <w:sz w:val="23"/>
        </w:rPr>
      </w:pPr>
    </w:p>
    <w:p w:rsidR="00C868A7" w:rsidRDefault="007C6E81">
      <w:pPr>
        <w:ind w:left="100" w:right="435"/>
        <w:rPr>
          <w:b/>
          <w:sz w:val="24"/>
        </w:rPr>
      </w:pPr>
      <w:r>
        <w:rPr>
          <w:b/>
          <w:sz w:val="24"/>
        </w:rPr>
        <w:t>The following is added as requested by North Yorkshire County Council and agreed by Scarborough and Ryedale CCG as a point of clarity and factual accuracy.</w:t>
      </w:r>
    </w:p>
    <w:p w:rsidR="00C868A7" w:rsidRDefault="00C868A7">
      <w:pPr>
        <w:pStyle w:val="BodyText"/>
        <w:rPr>
          <w:b/>
          <w:i w:val="0"/>
        </w:rPr>
      </w:pPr>
    </w:p>
    <w:p w:rsidR="00C868A7" w:rsidRDefault="007C6E81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Point 5.46 in the report reads 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follows:</w:t>
      </w:r>
    </w:p>
    <w:p w:rsidR="00C868A7" w:rsidRDefault="00C868A7">
      <w:pPr>
        <w:pStyle w:val="BodyText"/>
        <w:spacing w:before="9"/>
        <w:rPr>
          <w:b/>
          <w:i w:val="0"/>
          <w:sz w:val="23"/>
        </w:rPr>
      </w:pPr>
    </w:p>
    <w:p w:rsidR="00C868A7" w:rsidRDefault="007C6E81">
      <w:pPr>
        <w:pStyle w:val="BodyText"/>
        <w:ind w:left="100" w:right="119"/>
        <w:jc w:val="both"/>
      </w:pPr>
      <w:r>
        <w:t xml:space="preserve">Moreover, during the period under review, there was no evidence that the CHC team </w:t>
      </w:r>
      <w:r>
        <w:t>monitored the quality of Mrs S’s care in the Care Home. Recognising that the time period under review was a short one, the reviewer asked the CHC team when the 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qu</w:t>
      </w:r>
      <w:r>
        <w:t>ality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place.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apparently</w:t>
      </w:r>
      <w:r>
        <w:rPr>
          <w:spacing w:val="-4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Local Authority that any reported quality concerns would be taken via the Local Authority safeguarding route, ‘to ensure that a clear record is kept, and a thorough investigation takes p</w:t>
      </w:r>
      <w:r>
        <w:t>lace’. It therefore appeared that multi-agency safeguarding meetings were being used as a substitute for proactive, quality monitoring, to provide routine assurance about the quality of care and treatment</w:t>
      </w:r>
      <w:r>
        <w:rPr>
          <w:spacing w:val="-16"/>
        </w:rPr>
        <w:t xml:space="preserve"> </w:t>
      </w:r>
      <w:r>
        <w:t>commissioned.</w:t>
      </w:r>
    </w:p>
    <w:p w:rsidR="00C868A7" w:rsidRDefault="00C868A7">
      <w:pPr>
        <w:pStyle w:val="BodyText"/>
        <w:spacing w:before="3"/>
      </w:pPr>
    </w:p>
    <w:p w:rsidR="00C868A7" w:rsidRDefault="007C6E81">
      <w:pPr>
        <w:pStyle w:val="Heading2"/>
        <w:spacing w:before="1"/>
        <w:ind w:right="117"/>
      </w:pPr>
      <w:r>
        <w:t xml:space="preserve">Whilst concerns were being reported </w:t>
      </w:r>
      <w:r>
        <w:t>through the Local Authority route it is not an accurate reflection that all concerns were taken via a safeguarding route; any quality concerns about the placement were reported back by the Local Authority to the CCG to be included in future care reviews.</w:t>
      </w:r>
    </w:p>
    <w:p w:rsidR="00C868A7" w:rsidRDefault="007C6E81">
      <w:pPr>
        <w:spacing w:before="2" w:line="259" w:lineRule="auto"/>
        <w:ind w:left="100" w:right="120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stress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6"/>
          <w:sz w:val="24"/>
        </w:rPr>
        <w:t xml:space="preserve"> </w:t>
      </w:r>
      <w:r>
        <w:rPr>
          <w:sz w:val="24"/>
        </w:rPr>
        <w:t>four</w:t>
      </w:r>
      <w:r>
        <w:rPr>
          <w:spacing w:val="-5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Mrs</w:t>
      </w:r>
      <w:r>
        <w:rPr>
          <w:spacing w:val="-5"/>
          <w:sz w:val="24"/>
        </w:rPr>
        <w:t xml:space="preserve"> </w:t>
      </w:r>
      <w:r>
        <w:rPr>
          <w:sz w:val="24"/>
        </w:rPr>
        <w:t>S’</w:t>
      </w:r>
      <w:r>
        <w:rPr>
          <w:spacing w:val="-5"/>
          <w:sz w:val="24"/>
        </w:rPr>
        <w:t xml:space="preserve"> </w:t>
      </w:r>
      <w:r>
        <w:rPr>
          <w:sz w:val="24"/>
        </w:rPr>
        <w:t>life;</w:t>
      </w:r>
      <w:r>
        <w:rPr>
          <w:spacing w:val="-4"/>
          <w:sz w:val="24"/>
        </w:rPr>
        <w:t xml:space="preserve"> </w:t>
      </w:r>
      <w:r>
        <w:rPr>
          <w:sz w:val="24"/>
        </w:rPr>
        <w:t>the reasons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explained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review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review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read 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context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wider</w:t>
      </w:r>
      <w:r>
        <w:rPr>
          <w:spacing w:val="-8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0"/>
          <w:sz w:val="24"/>
        </w:rPr>
        <w:t xml:space="preserve"> </w:t>
      </w:r>
      <w:r>
        <w:rPr>
          <w:sz w:val="24"/>
        </w:rPr>
        <w:t>review.</w:t>
      </w:r>
      <w:r>
        <w:rPr>
          <w:spacing w:val="-7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short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frame</w:t>
      </w:r>
      <w:r>
        <w:rPr>
          <w:spacing w:val="-9"/>
          <w:sz w:val="24"/>
        </w:rPr>
        <w:t xml:space="preserve"> </w:t>
      </w:r>
      <w:r>
        <w:rPr>
          <w:sz w:val="24"/>
        </w:rPr>
        <w:t>of the review Scarborough and Ryedale CCG accept this point as a valid reflection on what was deemed to be a lack of routine proactive quality monitoring by them during that period; it is however not a reflection of the whole of Mrs S’ case</w:t>
      </w:r>
      <w:r>
        <w:rPr>
          <w:spacing w:val="-32"/>
          <w:sz w:val="24"/>
        </w:rPr>
        <w:t xml:space="preserve"> </w:t>
      </w:r>
      <w:r>
        <w:rPr>
          <w:sz w:val="24"/>
        </w:rPr>
        <w:t>mana</w:t>
      </w:r>
      <w:r>
        <w:rPr>
          <w:sz w:val="24"/>
        </w:rPr>
        <w:t>gement.</w:t>
      </w:r>
    </w:p>
    <w:p w:rsidR="00C868A7" w:rsidRDefault="00C868A7">
      <w:pPr>
        <w:pStyle w:val="BodyText"/>
        <w:rPr>
          <w:i w:val="0"/>
          <w:sz w:val="26"/>
        </w:rPr>
      </w:pPr>
    </w:p>
    <w:p w:rsidR="00C868A7" w:rsidRDefault="00C868A7">
      <w:pPr>
        <w:pStyle w:val="BodyText"/>
        <w:spacing w:before="5"/>
        <w:rPr>
          <w:i w:val="0"/>
          <w:sz w:val="27"/>
        </w:rPr>
      </w:pPr>
    </w:p>
    <w:p w:rsidR="00C868A7" w:rsidRDefault="007C6E81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Points 5.62 states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that:</w:t>
      </w:r>
    </w:p>
    <w:p w:rsidR="00C868A7" w:rsidRDefault="007C6E81">
      <w:pPr>
        <w:pStyle w:val="BodyText"/>
        <w:spacing w:before="183" w:line="259" w:lineRule="auto"/>
        <w:ind w:left="100" w:right="114"/>
        <w:jc w:val="both"/>
      </w:pPr>
      <w:r>
        <w:t xml:space="preserve">Within the Care Home chronology, there is no evidence of audits being carried out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review,</w:t>
      </w:r>
      <w:r>
        <w:rPr>
          <w:spacing w:val="-17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perhaps</w:t>
      </w:r>
      <w:r>
        <w:rPr>
          <w:spacing w:val="-15"/>
        </w:rPr>
        <w:t xml:space="preserve"> </w:t>
      </w:r>
      <w:r>
        <w:t>unsurprising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short</w:t>
      </w:r>
      <w:r>
        <w:rPr>
          <w:spacing w:val="-15"/>
        </w:rPr>
        <w:t xml:space="preserve"> </w:t>
      </w:r>
      <w:r>
        <w:t>duration. However, where there were concerns expressed by daughter 1 about her mother’s care, it would have been useful for the Care Home to have this type of information to examine and to use to frame a response to her. For example, audits of compliance w</w:t>
      </w:r>
      <w:r>
        <w:t>ith various care plans would have provided a focus for discussions concerning her dissatisfaction regarding their implementation. Either an audit would demonstrate full compliance with a care plan, or it would indicate improvement actions that could be put</w:t>
      </w:r>
      <w:r>
        <w:t xml:space="preserve"> in place and shared with daughter 1. Instead the only clear route of escalation evidenced in the information submitted was to Local Authority led multi-agency meetings, which seemed not to take a focused, evidence-based response to her concerns about care</w:t>
      </w:r>
      <w:r>
        <w:t xml:space="preserve"> and</w:t>
      </w:r>
      <w:r>
        <w:rPr>
          <w:spacing w:val="-3"/>
        </w:rPr>
        <w:t xml:space="preserve"> </w:t>
      </w:r>
      <w:r>
        <w:t>treatment.</w:t>
      </w:r>
    </w:p>
    <w:p w:rsidR="00C868A7" w:rsidRDefault="00C868A7">
      <w:pPr>
        <w:spacing w:line="259" w:lineRule="auto"/>
        <w:jc w:val="both"/>
        <w:sectPr w:rsidR="00C868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00" w:right="1320" w:bottom="280" w:left="1340" w:header="485" w:footer="720" w:gutter="0"/>
          <w:cols w:space="720"/>
        </w:sectPr>
      </w:pPr>
    </w:p>
    <w:p w:rsidR="00C868A7" w:rsidRDefault="007C6E81">
      <w:pPr>
        <w:pStyle w:val="Heading2"/>
        <w:spacing w:before="187" w:line="259" w:lineRule="auto"/>
        <w:ind w:right="3847"/>
        <w:jc w:val="left"/>
      </w:pPr>
      <w:r>
        <w:lastRenderedPageBreak/>
        <w:t>Whilst this point may relate to the clinical decisions that were made at various points, this</w:t>
      </w:r>
    </w:p>
    <w:p w:rsidR="00C868A7" w:rsidRDefault="007C6E81">
      <w:pPr>
        <w:spacing w:line="259" w:lineRule="auto"/>
        <w:ind w:left="100" w:right="115"/>
        <w:jc w:val="both"/>
        <w:rPr>
          <w:sz w:val="24"/>
        </w:rPr>
      </w:pP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raised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issues.</w:t>
      </w:r>
      <w:r>
        <w:rPr>
          <w:spacing w:val="-9"/>
          <w:sz w:val="24"/>
        </w:rPr>
        <w:t xml:space="preserve"> </w:t>
      </w:r>
      <w:r>
        <w:rPr>
          <w:sz w:val="24"/>
        </w:rPr>
        <w:t>The meetings led by the local authority were not intended to be evidence-based, clinical decision-making meetings (those matters were for the relevant health professionals): they were put in place to bring together all parties, add</w:t>
      </w:r>
      <w:r>
        <w:rPr>
          <w:sz w:val="24"/>
        </w:rPr>
        <w:t>ress perceived concerns, develop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implement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series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find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6"/>
          <w:sz w:val="24"/>
        </w:rPr>
        <w:t xml:space="preserve"> </w:t>
      </w:r>
      <w:r>
        <w:rPr>
          <w:sz w:val="24"/>
        </w:rPr>
        <w:t>way</w:t>
      </w:r>
      <w:r>
        <w:rPr>
          <w:spacing w:val="-12"/>
          <w:sz w:val="24"/>
        </w:rPr>
        <w:t xml:space="preserve"> </w:t>
      </w:r>
      <w:r>
        <w:rPr>
          <w:sz w:val="24"/>
        </w:rPr>
        <w:t>forward that addressed the well-being of Mrs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</w:p>
    <w:sectPr w:rsidR="00C868A7">
      <w:pgSz w:w="11910" w:h="16840"/>
      <w:pgMar w:top="1700" w:right="1320" w:bottom="280" w:left="134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E81">
      <w:r>
        <w:separator/>
      </w:r>
    </w:p>
  </w:endnote>
  <w:endnote w:type="continuationSeparator" w:id="0">
    <w:p w:rsidR="00000000" w:rsidRDefault="007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1" w:rsidRDefault="007C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1" w:rsidRDefault="007C6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1" w:rsidRDefault="007C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6E81">
      <w:r>
        <w:separator/>
      </w:r>
    </w:p>
  </w:footnote>
  <w:footnote w:type="continuationSeparator" w:id="0">
    <w:p w:rsidR="00000000" w:rsidRDefault="007C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1" w:rsidRDefault="007C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A7" w:rsidRDefault="007C6E81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33135" behindDoc="1" locked="0" layoutInCell="1" allowOverlap="1">
          <wp:simplePos x="0" y="0"/>
          <wp:positionH relativeFrom="page">
            <wp:posOffset>4815202</wp:posOffset>
          </wp:positionH>
          <wp:positionV relativeFrom="page">
            <wp:posOffset>308117</wp:posOffset>
          </wp:positionV>
          <wp:extent cx="2465573" cy="7774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573" cy="777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1" w:rsidRDefault="007C6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70"/>
    <w:multiLevelType w:val="hybridMultilevel"/>
    <w:tmpl w:val="96E8B4EA"/>
    <w:lvl w:ilvl="0" w:tplc="03D68D4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F17A8AE0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1BC49B80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0B028AA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8A2C50A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E07445AC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41FCE104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0E2629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D7B82FC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cumentProtection w:edit="readOnly" w:enforcement="1" w:cryptProviderType="rsaAES" w:cryptAlgorithmClass="hash" w:cryptAlgorithmType="typeAny" w:cryptAlgorithmSid="14" w:cryptSpinCount="100000" w:hash="eFMwDT6T4/en/OLA1y1MDQSCPQQoH8SGLmre3HliI0ibfkficYM6cuPmjEy29JSYa0XtsCpRRVYDIcp36/ohLA==" w:salt="l9IojnRHnwaBuGsVMHONl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68A7"/>
    <w:rsid w:val="007C6E81"/>
    <w:rsid w:val="00C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2AFB258-1FE5-4539-B9EC-E5051FC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right="115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81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C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E8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C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E81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Outram</dc:creator>
  <cp:lastModifiedBy>Laura Watson</cp:lastModifiedBy>
  <cp:revision>2</cp:revision>
  <dcterms:created xsi:type="dcterms:W3CDTF">2021-07-21T20:12:00Z</dcterms:created>
  <dcterms:modified xsi:type="dcterms:W3CDTF">2021-07-21T20:13:00Z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2021-07-21T20:13:41Z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b5e72597-f5ac-463d-a28b-000062094280</vt:lpwstr>
  </property>
  <property fmtid="{D5CDD505-2E9C-101B-9397-08002B2CF9AE}" pid="11" name="MSIP_Label_3ecdfc32-7be5-4b17-9f97-00453388bdd7_ContentBits">
    <vt:lpwstr>2</vt:lpwstr>
  </property>
</Properties>
</file>